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531" w14:textId="77777777" w:rsidR="00C271DB" w:rsidRPr="000E310F" w:rsidRDefault="00C271DB" w:rsidP="00C271DB">
      <w:pPr>
        <w:pStyle w:val="Quote"/>
      </w:pPr>
    </w:p>
    <w:p w14:paraId="289CB961" w14:textId="77777777" w:rsidR="00C271DB" w:rsidRDefault="00C271DB" w:rsidP="00C271DB">
      <w:pPr>
        <w:rPr>
          <w:b/>
          <w:sz w:val="52"/>
          <w:szCs w:val="52"/>
        </w:rPr>
      </w:pPr>
      <w:r>
        <w:rPr>
          <w:b/>
          <w:sz w:val="52"/>
          <w:szCs w:val="52"/>
        </w:rPr>
        <w:t xml:space="preserve">Licensing of Houses in Multiple </w:t>
      </w:r>
      <w:r>
        <w:rPr>
          <w:noProof/>
          <w:lang w:eastAsia="en-GB"/>
        </w:rPr>
        <w:drawing>
          <wp:inline distT="0" distB="0" distL="0" distR="0" wp14:anchorId="2AE32184" wp14:editId="66899B91">
            <wp:extent cx="1428750" cy="1200150"/>
            <wp:effectExtent l="0" t="0" r="0" b="0"/>
            <wp:docPr id="1" name="Picture 1" descr="cbc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14:paraId="1F808C64" w14:textId="77777777" w:rsidR="00C271DB" w:rsidRDefault="00C271DB" w:rsidP="00C271DB">
      <w:pPr>
        <w:rPr>
          <w:b/>
          <w:sz w:val="52"/>
          <w:szCs w:val="52"/>
        </w:rPr>
      </w:pPr>
      <w:r>
        <w:rPr>
          <w:b/>
          <w:sz w:val="52"/>
          <w:szCs w:val="52"/>
        </w:rPr>
        <w:t>Occupation (HMOs)</w:t>
      </w:r>
    </w:p>
    <w:p w14:paraId="21969D1D" w14:textId="77777777" w:rsidR="00C271DB" w:rsidRDefault="00C271DB" w:rsidP="00C271DB">
      <w:pPr>
        <w:rPr>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C271DB" w:rsidRPr="00955E76" w14:paraId="307AF45C" w14:textId="77777777" w:rsidTr="00B3369E">
        <w:tc>
          <w:tcPr>
            <w:tcW w:w="4503" w:type="dxa"/>
            <w:shd w:val="clear" w:color="auto" w:fill="auto"/>
          </w:tcPr>
          <w:p w14:paraId="2A1631A3" w14:textId="77777777" w:rsidR="00C271DB" w:rsidRPr="00955E76" w:rsidRDefault="00C271DB" w:rsidP="00B3369E">
            <w:pPr>
              <w:spacing w:before="60" w:after="60"/>
              <w:rPr>
                <w:sz w:val="28"/>
                <w:szCs w:val="28"/>
              </w:rPr>
            </w:pPr>
            <w:r w:rsidRPr="00955E76">
              <w:rPr>
                <w:sz w:val="28"/>
                <w:szCs w:val="28"/>
              </w:rPr>
              <w:t>GUIDE TO FEE CALCULATION</w:t>
            </w:r>
          </w:p>
        </w:tc>
      </w:tr>
    </w:tbl>
    <w:p w14:paraId="77FD4576" w14:textId="77777777" w:rsidR="00C271DB" w:rsidRDefault="00C271DB" w:rsidP="00C271DB">
      <w:pPr>
        <w:rPr>
          <w:b/>
          <w:sz w:val="28"/>
          <w:szCs w:val="28"/>
        </w:rPr>
      </w:pPr>
    </w:p>
    <w:p w14:paraId="4A5EAA1D" w14:textId="77777777" w:rsidR="00C271DB" w:rsidRDefault="00C271DB" w:rsidP="00C271DB">
      <w:pPr>
        <w:rPr>
          <w:szCs w:val="22"/>
        </w:rPr>
      </w:pPr>
    </w:p>
    <w:p w14:paraId="2CB10A41" w14:textId="77777777" w:rsidR="00C271DB" w:rsidRDefault="00C271DB" w:rsidP="00C271DB">
      <w:pPr>
        <w:rPr>
          <w:szCs w:val="22"/>
        </w:rPr>
      </w:pPr>
      <w:r>
        <w:rPr>
          <w:szCs w:val="22"/>
        </w:rPr>
        <w:t xml:space="preserve">Under the licensing arrangements for certain types of houses in multiple occupation every local authority </w:t>
      </w:r>
      <w:proofErr w:type="gramStart"/>
      <w:r>
        <w:rPr>
          <w:szCs w:val="22"/>
        </w:rPr>
        <w:t>has to</w:t>
      </w:r>
      <w:proofErr w:type="gramEnd"/>
      <w:r>
        <w:rPr>
          <w:szCs w:val="22"/>
        </w:rPr>
        <w:t xml:space="preserve"> set their own fee level for licences.  Fees </w:t>
      </w:r>
      <w:proofErr w:type="gramStart"/>
      <w:r>
        <w:rPr>
          <w:szCs w:val="22"/>
        </w:rPr>
        <w:t>must</w:t>
      </w:r>
      <w:proofErr w:type="gramEnd"/>
      <w:r>
        <w:rPr>
          <w:szCs w:val="22"/>
        </w:rPr>
        <w:t xml:space="preserve"> however, reflect the reasonable costs of providing the licensing service and have a fee structure which is fair and transparent. </w:t>
      </w:r>
    </w:p>
    <w:p w14:paraId="1EE332C9" w14:textId="77777777" w:rsidR="00C271DB" w:rsidRDefault="00C271DB" w:rsidP="00C271DB">
      <w:pPr>
        <w:rPr>
          <w:szCs w:val="22"/>
        </w:rPr>
      </w:pPr>
    </w:p>
    <w:p w14:paraId="0D201453" w14:textId="77777777" w:rsidR="00C271DB" w:rsidRDefault="00C271DB" w:rsidP="00C271DB">
      <w:pPr>
        <w:rPr>
          <w:szCs w:val="22"/>
        </w:rPr>
      </w:pPr>
      <w:r>
        <w:rPr>
          <w:szCs w:val="22"/>
        </w:rPr>
        <w:t>HMO licence fees must now be levied in 2 x parts. The Part 1: Application Fee (payable at point of application) covers the costs incurred by the council up to the point of the decision to issue or refuse the licence. The Part 2: Licence Issue Fee (at point of issuing the licence) covers the costs of drafting the licence, giving Notice of the council’s intention to licence to all interested parties and the issue of the final licence with licence conditions. Part 2: Licence Issue Fee is not required if the licence application is refused.</w:t>
      </w:r>
    </w:p>
    <w:p w14:paraId="22B87CAF" w14:textId="77777777" w:rsidR="00C271DB" w:rsidRDefault="00C271DB" w:rsidP="00C271DB">
      <w:pPr>
        <w:rPr>
          <w:szCs w:val="22"/>
        </w:rPr>
      </w:pPr>
    </w:p>
    <w:p w14:paraId="1A9418D2" w14:textId="77777777" w:rsidR="00C271DB" w:rsidRDefault="00C271DB" w:rsidP="00C271DB">
      <w:pPr>
        <w:rPr>
          <w:b/>
          <w:szCs w:val="22"/>
        </w:rPr>
      </w:pPr>
      <w:r>
        <w:rPr>
          <w:b/>
          <w:szCs w:val="22"/>
        </w:rPr>
        <w:t>HMO LICENSING</w:t>
      </w:r>
    </w:p>
    <w:p w14:paraId="3E890290" w14:textId="77777777" w:rsidR="00C271DB" w:rsidRDefault="00C271DB" w:rsidP="00C271DB">
      <w:pPr>
        <w:rPr>
          <w:b/>
          <w:szCs w:val="22"/>
        </w:rPr>
      </w:pPr>
    </w:p>
    <w:p w14:paraId="293412B9" w14:textId="77777777" w:rsidR="00C271DB" w:rsidRDefault="00C271DB" w:rsidP="00C271DB">
      <w:pPr>
        <w:rPr>
          <w:szCs w:val="22"/>
        </w:rPr>
      </w:pPr>
      <w:r>
        <w:rPr>
          <w:szCs w:val="22"/>
        </w:rPr>
        <w:t xml:space="preserve">If you own a property that meets all of the following criteria, you need </w:t>
      </w:r>
      <w:proofErr w:type="gramStart"/>
      <w:r>
        <w:rPr>
          <w:szCs w:val="22"/>
        </w:rPr>
        <w:t>a</w:t>
      </w:r>
      <w:proofErr w:type="gramEnd"/>
      <w:r>
        <w:rPr>
          <w:szCs w:val="22"/>
        </w:rPr>
        <w:t xml:space="preserve"> HMO Licence:</w:t>
      </w:r>
    </w:p>
    <w:p w14:paraId="4DBF16D4" w14:textId="77777777" w:rsidR="00C271DB" w:rsidRDefault="00C271DB" w:rsidP="00C271DB">
      <w:pPr>
        <w:pStyle w:val="ListParagraph"/>
        <w:numPr>
          <w:ilvl w:val="0"/>
          <w:numId w:val="1"/>
        </w:numPr>
        <w:rPr>
          <w:szCs w:val="22"/>
        </w:rPr>
      </w:pPr>
      <w:r>
        <w:rPr>
          <w:szCs w:val="22"/>
        </w:rPr>
        <w:t>The property is rented out</w:t>
      </w:r>
    </w:p>
    <w:p w14:paraId="36DB91C4" w14:textId="77777777" w:rsidR="00C271DB" w:rsidRDefault="00C271DB" w:rsidP="00C271DB">
      <w:pPr>
        <w:pStyle w:val="ListParagraph"/>
        <w:numPr>
          <w:ilvl w:val="0"/>
          <w:numId w:val="1"/>
        </w:numPr>
        <w:rPr>
          <w:szCs w:val="22"/>
        </w:rPr>
      </w:pPr>
      <w:r>
        <w:rPr>
          <w:szCs w:val="22"/>
        </w:rPr>
        <w:t>There are 5 or more persons from 2 or more households and,</w:t>
      </w:r>
    </w:p>
    <w:p w14:paraId="2073E25F" w14:textId="77777777" w:rsidR="00C271DB" w:rsidRDefault="00C271DB" w:rsidP="00C271DB">
      <w:pPr>
        <w:pStyle w:val="ListParagraph"/>
        <w:numPr>
          <w:ilvl w:val="0"/>
          <w:numId w:val="1"/>
        </w:numPr>
        <w:rPr>
          <w:szCs w:val="22"/>
        </w:rPr>
      </w:pPr>
      <w:r>
        <w:rPr>
          <w:szCs w:val="22"/>
        </w:rPr>
        <w:t xml:space="preserve">They share any of the following basic </w:t>
      </w:r>
      <w:proofErr w:type="gramStart"/>
      <w:r>
        <w:rPr>
          <w:szCs w:val="22"/>
        </w:rPr>
        <w:t>facilities;</w:t>
      </w:r>
      <w:proofErr w:type="gramEnd"/>
      <w:r>
        <w:rPr>
          <w:szCs w:val="22"/>
        </w:rPr>
        <w:t xml:space="preserve"> kitchen, bathroom or toilet</w:t>
      </w:r>
    </w:p>
    <w:p w14:paraId="18C02C02" w14:textId="77777777" w:rsidR="00C271DB" w:rsidRDefault="00C271DB" w:rsidP="00C271DB">
      <w:pPr>
        <w:rPr>
          <w:szCs w:val="22"/>
        </w:rPr>
      </w:pPr>
    </w:p>
    <w:p w14:paraId="1F6505DF" w14:textId="77777777" w:rsidR="00C271DB" w:rsidRDefault="00C271DB" w:rsidP="00C271DB">
      <w:pPr>
        <w:rPr>
          <w:szCs w:val="22"/>
        </w:rPr>
      </w:pPr>
      <w:r>
        <w:rPr>
          <w:szCs w:val="22"/>
        </w:rPr>
        <w:t xml:space="preserve">The definition of the property type for fire safety purposes is determined by the “mode of occupation”. The fee is the same for all modes of </w:t>
      </w:r>
      <w:proofErr w:type="gramStart"/>
      <w:r>
        <w:rPr>
          <w:szCs w:val="22"/>
        </w:rPr>
        <w:t>occupation</w:t>
      </w:r>
      <w:proofErr w:type="gramEnd"/>
      <w:r>
        <w:rPr>
          <w:szCs w:val="22"/>
        </w:rPr>
        <w:t xml:space="preserve"> but the property type as determined by the case officer will ultimately determine what fire safety measures will be required to meet the councils’ standards. </w:t>
      </w:r>
    </w:p>
    <w:p w14:paraId="019EF7E2" w14:textId="77777777" w:rsidR="00C271DB" w:rsidRDefault="00C271DB" w:rsidP="00C271DB">
      <w:pPr>
        <w:rPr>
          <w:szCs w:val="2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307"/>
      </w:tblGrid>
      <w:tr w:rsidR="00C271DB" w:rsidRPr="000C3F5D" w14:paraId="507F32C6" w14:textId="77777777" w:rsidTr="00B3369E">
        <w:tc>
          <w:tcPr>
            <w:tcW w:w="11307" w:type="dxa"/>
            <w:tcBorders>
              <w:bottom w:val="single" w:sz="4" w:space="0" w:color="auto"/>
            </w:tcBorders>
            <w:shd w:val="clear" w:color="auto" w:fill="0C0C0C"/>
          </w:tcPr>
          <w:p w14:paraId="4A985199" w14:textId="77777777" w:rsidR="00C271DB" w:rsidRPr="000C3F5D" w:rsidRDefault="00C271DB" w:rsidP="00B3369E">
            <w:pPr>
              <w:rPr>
                <w:b/>
                <w:szCs w:val="22"/>
              </w:rPr>
            </w:pPr>
            <w:r w:rsidRPr="000C3F5D">
              <w:rPr>
                <w:szCs w:val="22"/>
              </w:rPr>
              <w:br w:type="page"/>
            </w:r>
            <w:r w:rsidRPr="000C3F5D">
              <w:rPr>
                <w:b/>
                <w:szCs w:val="22"/>
              </w:rPr>
              <w:t xml:space="preserve"> ‘Shared House’ accommodation</w:t>
            </w:r>
          </w:p>
        </w:tc>
      </w:tr>
      <w:tr w:rsidR="00C271DB" w:rsidRPr="000C3F5D" w14:paraId="2E280686" w14:textId="77777777" w:rsidTr="00B3369E">
        <w:tc>
          <w:tcPr>
            <w:tcW w:w="11307" w:type="dxa"/>
            <w:tcBorders>
              <w:bottom w:val="single" w:sz="4" w:space="0" w:color="auto"/>
            </w:tcBorders>
            <w:shd w:val="clear" w:color="auto" w:fill="FFFFFF"/>
          </w:tcPr>
          <w:p w14:paraId="3ACBB337" w14:textId="77777777" w:rsidR="00C271DB" w:rsidRDefault="00C271DB" w:rsidP="00B3369E">
            <w:pPr>
              <w:rPr>
                <w:szCs w:val="22"/>
              </w:rPr>
            </w:pPr>
            <w:r w:rsidRPr="000C3F5D">
              <w:rPr>
                <w:szCs w:val="22"/>
              </w:rPr>
              <w:t xml:space="preserve">This type of multi-occupied accommodation consists of a property occupied by a pre-formed group of </w:t>
            </w:r>
            <w:r w:rsidRPr="000C3F5D">
              <w:rPr>
                <w:i/>
                <w:szCs w:val="22"/>
              </w:rPr>
              <w:t>unrelated</w:t>
            </w:r>
            <w:r w:rsidRPr="000C3F5D">
              <w:rPr>
                <w:szCs w:val="22"/>
              </w:rPr>
              <w:t xml:space="preserve"> people having their own bedrooms but sharing kitchens, bathrooms and living rooms.  This could be a group of students, friends or working people sharing</w:t>
            </w:r>
            <w:r>
              <w:rPr>
                <w:szCs w:val="22"/>
              </w:rPr>
              <w:t xml:space="preserve"> the property</w:t>
            </w:r>
            <w:r w:rsidRPr="000C3F5D">
              <w:rPr>
                <w:szCs w:val="22"/>
              </w:rPr>
              <w:t xml:space="preserve">. The HMO will be let to all members of the group on a joint </w:t>
            </w:r>
            <w:proofErr w:type="gramStart"/>
            <w:r w:rsidRPr="000C3F5D">
              <w:rPr>
                <w:szCs w:val="22"/>
              </w:rPr>
              <w:t>tenancy</w:t>
            </w:r>
            <w:proofErr w:type="gramEnd"/>
            <w:r w:rsidRPr="000C3F5D">
              <w:rPr>
                <w:szCs w:val="22"/>
              </w:rPr>
              <w:t xml:space="preserve"> and they will have exclusive use of the whole property. The bedroom doors may or may not have a lock. The group will often behave, interact and share the property </w:t>
            </w:r>
            <w:r>
              <w:rPr>
                <w:szCs w:val="22"/>
              </w:rPr>
              <w:t xml:space="preserve">in a manner </w:t>
            </w:r>
            <w:proofErr w:type="gramStart"/>
            <w:r>
              <w:rPr>
                <w:szCs w:val="22"/>
              </w:rPr>
              <w:t>similar</w:t>
            </w:r>
            <w:r w:rsidRPr="000C3F5D">
              <w:rPr>
                <w:szCs w:val="22"/>
              </w:rPr>
              <w:t xml:space="preserve"> to</w:t>
            </w:r>
            <w:proofErr w:type="gramEnd"/>
            <w:r w:rsidRPr="000C3F5D">
              <w:rPr>
                <w:szCs w:val="22"/>
              </w:rPr>
              <w:t xml:space="preserve"> a family. </w:t>
            </w:r>
          </w:p>
          <w:p w14:paraId="33A7244A" w14:textId="77777777" w:rsidR="00C271DB" w:rsidRPr="000C3F5D" w:rsidRDefault="00C271DB" w:rsidP="00B3369E">
            <w:pPr>
              <w:rPr>
                <w:szCs w:val="22"/>
              </w:rPr>
            </w:pPr>
          </w:p>
        </w:tc>
      </w:tr>
    </w:tbl>
    <w:p w14:paraId="508EFBC6" w14:textId="77777777" w:rsidR="00C271DB" w:rsidRPr="000C3F5D" w:rsidRDefault="00C271DB" w:rsidP="00C271DB">
      <w:pPr>
        <w:rPr>
          <w:szCs w:val="2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307"/>
      </w:tblGrid>
      <w:tr w:rsidR="00C271DB" w:rsidRPr="000C3F5D" w14:paraId="60486014" w14:textId="77777777" w:rsidTr="00B3369E">
        <w:tc>
          <w:tcPr>
            <w:tcW w:w="11307" w:type="dxa"/>
            <w:tcBorders>
              <w:bottom w:val="single" w:sz="4" w:space="0" w:color="auto"/>
            </w:tcBorders>
            <w:shd w:val="clear" w:color="auto" w:fill="0C0C0C"/>
          </w:tcPr>
          <w:p w14:paraId="185DC482" w14:textId="77777777" w:rsidR="00C271DB" w:rsidRPr="000C3F5D" w:rsidRDefault="00C271DB" w:rsidP="00B3369E">
            <w:pPr>
              <w:rPr>
                <w:b/>
                <w:szCs w:val="22"/>
              </w:rPr>
            </w:pPr>
            <w:r w:rsidRPr="000C3F5D">
              <w:rPr>
                <w:szCs w:val="22"/>
              </w:rPr>
              <w:br w:type="page"/>
            </w:r>
            <w:r w:rsidRPr="000C3F5D">
              <w:rPr>
                <w:b/>
                <w:szCs w:val="22"/>
              </w:rPr>
              <w:t xml:space="preserve"> ‘Bedsit type’ shared accommodation</w:t>
            </w:r>
          </w:p>
        </w:tc>
      </w:tr>
      <w:tr w:rsidR="00C271DB" w:rsidRPr="000C3F5D" w14:paraId="1BA0D206" w14:textId="77777777" w:rsidTr="00B3369E">
        <w:tc>
          <w:tcPr>
            <w:tcW w:w="11307" w:type="dxa"/>
            <w:tcBorders>
              <w:bottom w:val="single" w:sz="4" w:space="0" w:color="auto"/>
            </w:tcBorders>
            <w:shd w:val="clear" w:color="auto" w:fill="FFFFFF"/>
          </w:tcPr>
          <w:p w14:paraId="539AC997" w14:textId="77777777" w:rsidR="00C271DB" w:rsidRDefault="00C271DB" w:rsidP="00B3369E">
            <w:pPr>
              <w:rPr>
                <w:szCs w:val="22"/>
              </w:rPr>
            </w:pPr>
            <w:r w:rsidRPr="000C3F5D">
              <w:rPr>
                <w:szCs w:val="22"/>
              </w:rPr>
              <w:t xml:space="preserve">This type of multi-occupied accommodation consists of a property occupied by </w:t>
            </w:r>
            <w:proofErr w:type="gramStart"/>
            <w:r w:rsidRPr="000C3F5D">
              <w:rPr>
                <w:szCs w:val="22"/>
              </w:rPr>
              <w:t>a number of</w:t>
            </w:r>
            <w:proofErr w:type="gramEnd"/>
            <w:r w:rsidRPr="000C3F5D">
              <w:rPr>
                <w:szCs w:val="22"/>
              </w:rPr>
              <w:t xml:space="preserve"> </w:t>
            </w:r>
            <w:r w:rsidRPr="000C3F5D">
              <w:rPr>
                <w:i/>
                <w:szCs w:val="22"/>
              </w:rPr>
              <w:t>unrelated</w:t>
            </w:r>
            <w:r w:rsidRPr="000C3F5D">
              <w:rPr>
                <w:szCs w:val="22"/>
              </w:rPr>
              <w:t xml:space="preserve"> individuals who have their own bedroom that has been let on a single tenancy. None of the tenants have exclusive use of the whole property but they will share some or all of the </w:t>
            </w:r>
            <w:proofErr w:type="gramStart"/>
            <w:r w:rsidRPr="000C3F5D">
              <w:rPr>
                <w:szCs w:val="22"/>
              </w:rPr>
              <w:t>following;</w:t>
            </w:r>
            <w:proofErr w:type="gramEnd"/>
            <w:r w:rsidRPr="000C3F5D">
              <w:rPr>
                <w:szCs w:val="22"/>
              </w:rPr>
              <w:t xml:space="preserve"> kitchens, bathrooms and living / dining rooms.  The bedrooms will typically have a lock on the door. In some </w:t>
            </w:r>
            <w:proofErr w:type="gramStart"/>
            <w:r w:rsidR="00EF2C01" w:rsidRPr="000C3F5D">
              <w:rPr>
                <w:szCs w:val="22"/>
              </w:rPr>
              <w:t>bedsits</w:t>
            </w:r>
            <w:proofErr w:type="gramEnd"/>
            <w:r w:rsidRPr="000C3F5D">
              <w:rPr>
                <w:szCs w:val="22"/>
              </w:rPr>
              <w:t xml:space="preserve"> HMOs, the bedsitting rooms may contain cooking and sleeping facilities but this is not commonplace in Crawley. The tenants will essentially live independently from each other with little or no communal living or interaction. </w:t>
            </w:r>
          </w:p>
          <w:p w14:paraId="74347607" w14:textId="77777777" w:rsidR="00C271DB" w:rsidRPr="000C3F5D" w:rsidRDefault="00C271DB" w:rsidP="00B3369E">
            <w:pPr>
              <w:rPr>
                <w:szCs w:val="22"/>
              </w:rPr>
            </w:pPr>
          </w:p>
        </w:tc>
      </w:tr>
    </w:tbl>
    <w:p w14:paraId="03A5DDD1" w14:textId="77777777" w:rsidR="00C271DB" w:rsidRDefault="00C271DB" w:rsidP="00C271DB">
      <w:pPr>
        <w:rPr>
          <w:szCs w:val="22"/>
        </w:rPr>
      </w:pPr>
    </w:p>
    <w:p w14:paraId="0D3B3FCB" w14:textId="77777777" w:rsidR="00C271DB" w:rsidRDefault="00C271DB" w:rsidP="00C271DB">
      <w:pPr>
        <w:rPr>
          <w:szCs w:val="22"/>
        </w:rPr>
      </w:pPr>
      <w:r>
        <w:rPr>
          <w:szCs w:val="22"/>
        </w:rPr>
        <w:t xml:space="preserve">In </w:t>
      </w:r>
      <w:proofErr w:type="gramStart"/>
      <w:r>
        <w:rPr>
          <w:szCs w:val="22"/>
        </w:rPr>
        <w:t>both of the above</w:t>
      </w:r>
      <w:proofErr w:type="gramEnd"/>
      <w:r>
        <w:rPr>
          <w:szCs w:val="22"/>
        </w:rPr>
        <w:t xml:space="preserve"> modes of occupation, the number of people who can occupy the HMO or a room will be determined by the number of shared and individual facilities, the size of the bedrooms and other communal rooms. </w:t>
      </w:r>
    </w:p>
    <w:p w14:paraId="350B104F" w14:textId="77777777" w:rsidR="00C271DB" w:rsidRDefault="00C271DB" w:rsidP="00C271DB">
      <w:pPr>
        <w:rPr>
          <w:szCs w:val="22"/>
        </w:rPr>
      </w:pPr>
    </w:p>
    <w:p w14:paraId="047D7E12" w14:textId="77777777" w:rsidR="00C271DB" w:rsidRDefault="00C271DB" w:rsidP="00C271DB">
      <w:pPr>
        <w:rPr>
          <w:szCs w:val="22"/>
        </w:rPr>
      </w:pPr>
    </w:p>
    <w:p w14:paraId="5D5A2412" w14:textId="77777777" w:rsidR="00C271DB" w:rsidRDefault="00C271DB" w:rsidP="00C271DB">
      <w:pPr>
        <w:rPr>
          <w:szCs w:val="22"/>
        </w:rPr>
      </w:pPr>
    </w:p>
    <w:p w14:paraId="6626B4D5" w14:textId="77777777" w:rsidR="00C271DB" w:rsidRPr="00102F84" w:rsidRDefault="00C271DB" w:rsidP="00C271DB">
      <w:pPr>
        <w:rPr>
          <w:b/>
          <w:szCs w:val="22"/>
        </w:rPr>
      </w:pPr>
      <w:r>
        <w:rPr>
          <w:b/>
          <w:szCs w:val="22"/>
        </w:rPr>
        <w:t>HMO FEE STRUCTURE</w:t>
      </w:r>
    </w:p>
    <w:p w14:paraId="75F4379A" w14:textId="77777777" w:rsidR="00C271DB" w:rsidRDefault="00C271DB" w:rsidP="00C271DB">
      <w:pPr>
        <w:rPr>
          <w:szCs w:val="22"/>
        </w:rPr>
      </w:pPr>
    </w:p>
    <w:p w14:paraId="35060230" w14:textId="77777777" w:rsidR="00C271DB" w:rsidRDefault="00C271DB" w:rsidP="00C271DB">
      <w:pPr>
        <w:rPr>
          <w:szCs w:val="22"/>
        </w:rPr>
      </w:pPr>
      <w:r>
        <w:rPr>
          <w:szCs w:val="22"/>
        </w:rPr>
        <w:t xml:space="preserve">The fee structure is determined by the number of occupants regardless of property type with a base fee for up to 6 occupants. </w:t>
      </w:r>
    </w:p>
    <w:p w14:paraId="428EAD00" w14:textId="77777777" w:rsidR="00C271DB" w:rsidRDefault="00C271DB" w:rsidP="00C271DB">
      <w:pPr>
        <w:rPr>
          <w:szCs w:val="22"/>
        </w:rPr>
      </w:pPr>
    </w:p>
    <w:p w14:paraId="768FB05D" w14:textId="77777777" w:rsidR="00C271DB" w:rsidRDefault="00C271DB" w:rsidP="00C271DB">
      <w:pPr>
        <w:rPr>
          <w:szCs w:val="22"/>
        </w:rPr>
      </w:pPr>
      <w:r>
        <w:rPr>
          <w:szCs w:val="22"/>
        </w:rPr>
        <w:t>The licence fee is split and payable in 2 x parts:</w:t>
      </w:r>
    </w:p>
    <w:p w14:paraId="016DD80D" w14:textId="77777777" w:rsidR="00C271DB" w:rsidRDefault="00C271DB" w:rsidP="00C271DB">
      <w:pPr>
        <w:rPr>
          <w:szCs w:val="22"/>
        </w:rPr>
      </w:pPr>
    </w:p>
    <w:p w14:paraId="6E060C5D" w14:textId="77777777" w:rsidR="00C271DB" w:rsidRDefault="00C271DB" w:rsidP="00C271DB">
      <w:pPr>
        <w:rPr>
          <w:szCs w:val="22"/>
        </w:rPr>
      </w:pPr>
      <w:r w:rsidRPr="00550863">
        <w:rPr>
          <w:szCs w:val="22"/>
          <w:u w:val="single"/>
        </w:rPr>
        <w:t>Part 1</w:t>
      </w:r>
      <w:r>
        <w:rPr>
          <w:szCs w:val="22"/>
        </w:rPr>
        <w:t>: Application Fee payable upon submission of the application. (Note that this fee is non-refundable whether a licence is granted or not or if the application is withdrawn by the applicant after submission).</w:t>
      </w:r>
    </w:p>
    <w:p w14:paraId="79153AFA" w14:textId="77777777" w:rsidR="00C271DB" w:rsidRDefault="00C271DB" w:rsidP="00C271DB">
      <w:pPr>
        <w:rPr>
          <w:szCs w:val="22"/>
        </w:rPr>
      </w:pPr>
    </w:p>
    <w:p w14:paraId="3E84837A" w14:textId="77777777" w:rsidR="00C271DB" w:rsidRPr="00550863" w:rsidRDefault="00C271DB" w:rsidP="00C271DB">
      <w:pPr>
        <w:rPr>
          <w:szCs w:val="22"/>
        </w:rPr>
      </w:pPr>
      <w:r>
        <w:rPr>
          <w:szCs w:val="22"/>
          <w:u w:val="single"/>
        </w:rPr>
        <w:t>Part 2:</w:t>
      </w:r>
      <w:r>
        <w:rPr>
          <w:szCs w:val="22"/>
        </w:rPr>
        <w:t xml:space="preserve"> Licence Issue Fee payable upon successful completion of the application process and prior to the issue of the HMO licence. (Note that the HMO licence cannot be issued without prior payment of the Part 2 Licence Issue Fee). </w:t>
      </w:r>
    </w:p>
    <w:p w14:paraId="7CB4C67E" w14:textId="77777777" w:rsidR="00C271DB" w:rsidRDefault="00C271DB" w:rsidP="00C271DB">
      <w:pPr>
        <w:rPr>
          <w:szCs w:val="22"/>
        </w:rPr>
      </w:pPr>
    </w:p>
    <w:p w14:paraId="3E2FD48C" w14:textId="77777777" w:rsidR="00C271DB" w:rsidRDefault="00C271DB" w:rsidP="00C271DB">
      <w:pPr>
        <w:rPr>
          <w:szCs w:val="22"/>
        </w:rPr>
      </w:pPr>
      <w:r>
        <w:rPr>
          <w:szCs w:val="22"/>
        </w:rPr>
        <w:t>The licence fees for both an initial licence application and licence renewal application are below.</w:t>
      </w:r>
    </w:p>
    <w:p w14:paraId="4BF9D39A" w14:textId="77777777" w:rsidR="00C271DB" w:rsidRDefault="00C271DB" w:rsidP="00C271DB">
      <w:pPr>
        <w:rPr>
          <w:szCs w:val="22"/>
        </w:rPr>
      </w:pPr>
    </w:p>
    <w:tbl>
      <w:tblPr>
        <w:tblStyle w:val="TableGrid"/>
        <w:tblW w:w="0" w:type="auto"/>
        <w:tblLook w:val="04A0" w:firstRow="1" w:lastRow="0" w:firstColumn="1" w:lastColumn="0" w:noHBand="0" w:noVBand="1"/>
      </w:tblPr>
      <w:tblGrid>
        <w:gridCol w:w="2220"/>
        <w:gridCol w:w="2220"/>
        <w:gridCol w:w="2220"/>
        <w:gridCol w:w="2221"/>
        <w:gridCol w:w="2221"/>
      </w:tblGrid>
      <w:tr w:rsidR="00C271DB" w14:paraId="43A44252" w14:textId="77777777" w:rsidTr="00B3369E">
        <w:tc>
          <w:tcPr>
            <w:tcW w:w="2220" w:type="dxa"/>
          </w:tcPr>
          <w:p w14:paraId="4A37A57E" w14:textId="77777777" w:rsidR="00C271DB" w:rsidRPr="0040136C" w:rsidRDefault="00C271DB" w:rsidP="00B3369E">
            <w:pPr>
              <w:jc w:val="center"/>
              <w:rPr>
                <w:b/>
                <w:szCs w:val="22"/>
              </w:rPr>
            </w:pPr>
            <w:r>
              <w:rPr>
                <w:b/>
                <w:szCs w:val="22"/>
              </w:rPr>
              <w:t>Size of HMO</w:t>
            </w:r>
          </w:p>
        </w:tc>
        <w:tc>
          <w:tcPr>
            <w:tcW w:w="2220" w:type="dxa"/>
          </w:tcPr>
          <w:p w14:paraId="53D4B7DA" w14:textId="77777777" w:rsidR="00C271DB" w:rsidRPr="0040136C" w:rsidRDefault="00C271DB" w:rsidP="00B3369E">
            <w:pPr>
              <w:jc w:val="center"/>
              <w:rPr>
                <w:b/>
                <w:szCs w:val="22"/>
              </w:rPr>
            </w:pPr>
            <w:r>
              <w:rPr>
                <w:b/>
                <w:szCs w:val="22"/>
              </w:rPr>
              <w:t>Part 1: Application Fee</w:t>
            </w:r>
          </w:p>
        </w:tc>
        <w:tc>
          <w:tcPr>
            <w:tcW w:w="2220" w:type="dxa"/>
          </w:tcPr>
          <w:p w14:paraId="229E014F" w14:textId="77777777" w:rsidR="00C271DB" w:rsidRPr="0040136C" w:rsidRDefault="00C271DB" w:rsidP="00B3369E">
            <w:pPr>
              <w:jc w:val="center"/>
              <w:rPr>
                <w:b/>
                <w:szCs w:val="22"/>
              </w:rPr>
            </w:pPr>
            <w:r>
              <w:rPr>
                <w:b/>
                <w:szCs w:val="22"/>
              </w:rPr>
              <w:t>Part 2: Licence Issue Fee</w:t>
            </w:r>
          </w:p>
        </w:tc>
        <w:tc>
          <w:tcPr>
            <w:tcW w:w="2221" w:type="dxa"/>
          </w:tcPr>
          <w:p w14:paraId="22A508BF" w14:textId="77777777" w:rsidR="00C271DB" w:rsidRPr="0040136C" w:rsidRDefault="00C271DB" w:rsidP="00B3369E">
            <w:pPr>
              <w:jc w:val="center"/>
              <w:rPr>
                <w:b/>
                <w:szCs w:val="22"/>
              </w:rPr>
            </w:pPr>
            <w:r>
              <w:rPr>
                <w:b/>
                <w:szCs w:val="22"/>
              </w:rPr>
              <w:t>Part 1: Renewal Application Fee</w:t>
            </w:r>
          </w:p>
        </w:tc>
        <w:tc>
          <w:tcPr>
            <w:tcW w:w="2221" w:type="dxa"/>
          </w:tcPr>
          <w:p w14:paraId="304D4115" w14:textId="77777777" w:rsidR="00C271DB" w:rsidRDefault="00C271DB" w:rsidP="00B3369E">
            <w:pPr>
              <w:jc w:val="center"/>
              <w:rPr>
                <w:b/>
                <w:szCs w:val="22"/>
              </w:rPr>
            </w:pPr>
            <w:r>
              <w:rPr>
                <w:b/>
                <w:szCs w:val="22"/>
              </w:rPr>
              <w:t>Part 2: Renewal</w:t>
            </w:r>
          </w:p>
          <w:p w14:paraId="1EC6973A" w14:textId="77777777" w:rsidR="00C271DB" w:rsidRPr="0040136C" w:rsidRDefault="00C271DB" w:rsidP="00B3369E">
            <w:pPr>
              <w:jc w:val="center"/>
              <w:rPr>
                <w:b/>
                <w:szCs w:val="22"/>
              </w:rPr>
            </w:pPr>
            <w:r>
              <w:rPr>
                <w:b/>
                <w:szCs w:val="22"/>
              </w:rPr>
              <w:t>Licence Issue Fee</w:t>
            </w:r>
          </w:p>
        </w:tc>
      </w:tr>
      <w:tr w:rsidR="00C271DB" w14:paraId="183AC2A3" w14:textId="77777777" w:rsidTr="00B3369E">
        <w:tc>
          <w:tcPr>
            <w:tcW w:w="2220" w:type="dxa"/>
          </w:tcPr>
          <w:p w14:paraId="0F910AC0" w14:textId="77777777" w:rsidR="00C271DB" w:rsidRDefault="00C271DB" w:rsidP="00B3369E">
            <w:pPr>
              <w:rPr>
                <w:szCs w:val="22"/>
              </w:rPr>
            </w:pPr>
          </w:p>
        </w:tc>
        <w:tc>
          <w:tcPr>
            <w:tcW w:w="2220" w:type="dxa"/>
          </w:tcPr>
          <w:p w14:paraId="4A561BC0" w14:textId="77777777" w:rsidR="00C271DB" w:rsidRDefault="00C271DB" w:rsidP="00B3369E">
            <w:pPr>
              <w:rPr>
                <w:szCs w:val="22"/>
              </w:rPr>
            </w:pPr>
          </w:p>
        </w:tc>
        <w:tc>
          <w:tcPr>
            <w:tcW w:w="2220" w:type="dxa"/>
          </w:tcPr>
          <w:p w14:paraId="647370D6" w14:textId="77777777" w:rsidR="00C271DB" w:rsidRDefault="00C271DB" w:rsidP="00B3369E">
            <w:pPr>
              <w:rPr>
                <w:szCs w:val="22"/>
              </w:rPr>
            </w:pPr>
          </w:p>
        </w:tc>
        <w:tc>
          <w:tcPr>
            <w:tcW w:w="2221" w:type="dxa"/>
          </w:tcPr>
          <w:p w14:paraId="3BBCA4A6" w14:textId="77777777" w:rsidR="00C271DB" w:rsidRDefault="00C271DB" w:rsidP="00B3369E">
            <w:pPr>
              <w:rPr>
                <w:szCs w:val="22"/>
              </w:rPr>
            </w:pPr>
          </w:p>
        </w:tc>
        <w:tc>
          <w:tcPr>
            <w:tcW w:w="2221" w:type="dxa"/>
          </w:tcPr>
          <w:p w14:paraId="4F054527" w14:textId="77777777" w:rsidR="00C271DB" w:rsidRDefault="00C271DB" w:rsidP="00B3369E">
            <w:pPr>
              <w:rPr>
                <w:szCs w:val="22"/>
              </w:rPr>
            </w:pPr>
          </w:p>
        </w:tc>
      </w:tr>
      <w:tr w:rsidR="00C271DB" w14:paraId="48A9B27C" w14:textId="77777777" w:rsidTr="00B3369E">
        <w:tc>
          <w:tcPr>
            <w:tcW w:w="2220" w:type="dxa"/>
          </w:tcPr>
          <w:p w14:paraId="2149960C" w14:textId="77777777" w:rsidR="00C271DB" w:rsidRPr="00F849DD" w:rsidRDefault="00C271DB" w:rsidP="00B3369E">
            <w:pPr>
              <w:jc w:val="center"/>
            </w:pPr>
            <w:r w:rsidRPr="00F849DD">
              <w:t>Up to 6 persons</w:t>
            </w:r>
          </w:p>
        </w:tc>
        <w:tc>
          <w:tcPr>
            <w:tcW w:w="2220" w:type="dxa"/>
          </w:tcPr>
          <w:p w14:paraId="1F0E11FE" w14:textId="36B2DC2E" w:rsidR="00C271DB" w:rsidRPr="00F849DD" w:rsidRDefault="00C271DB" w:rsidP="00B3369E">
            <w:pPr>
              <w:jc w:val="center"/>
            </w:pPr>
            <w:r>
              <w:t>£</w:t>
            </w:r>
            <w:r w:rsidR="00FA526B">
              <w:t>760.50</w:t>
            </w:r>
          </w:p>
        </w:tc>
        <w:tc>
          <w:tcPr>
            <w:tcW w:w="2220" w:type="dxa"/>
          </w:tcPr>
          <w:p w14:paraId="79D5099F" w14:textId="7488138A" w:rsidR="00C271DB" w:rsidRPr="00F849DD" w:rsidRDefault="00C271DB" w:rsidP="00B3369E">
            <w:pPr>
              <w:jc w:val="center"/>
            </w:pPr>
            <w:r>
              <w:t>£</w:t>
            </w:r>
            <w:r w:rsidR="00FA526B">
              <w:t>252.80</w:t>
            </w:r>
          </w:p>
        </w:tc>
        <w:tc>
          <w:tcPr>
            <w:tcW w:w="2221" w:type="dxa"/>
          </w:tcPr>
          <w:p w14:paraId="7CDF1C7B" w14:textId="55F828D2" w:rsidR="00C271DB" w:rsidRPr="00F849DD" w:rsidRDefault="00C271DB" w:rsidP="00B3369E">
            <w:pPr>
              <w:jc w:val="center"/>
            </w:pPr>
            <w:r>
              <w:t>£</w:t>
            </w:r>
            <w:r w:rsidR="00FA526B">
              <w:t>430.70</w:t>
            </w:r>
          </w:p>
        </w:tc>
        <w:tc>
          <w:tcPr>
            <w:tcW w:w="2221" w:type="dxa"/>
          </w:tcPr>
          <w:p w14:paraId="1654A77A" w14:textId="0F4EBBBF" w:rsidR="00C271DB" w:rsidRPr="00F849DD" w:rsidRDefault="00C271DB" w:rsidP="00B3369E">
            <w:pPr>
              <w:jc w:val="center"/>
            </w:pPr>
            <w:r>
              <w:t>£</w:t>
            </w:r>
            <w:r w:rsidR="00FA526B">
              <w:t>223.70</w:t>
            </w:r>
          </w:p>
        </w:tc>
      </w:tr>
      <w:tr w:rsidR="00C271DB" w14:paraId="548B2A43" w14:textId="77777777" w:rsidTr="00B3369E">
        <w:tc>
          <w:tcPr>
            <w:tcW w:w="2220" w:type="dxa"/>
          </w:tcPr>
          <w:p w14:paraId="31311D9C" w14:textId="77777777" w:rsidR="00C271DB" w:rsidRPr="00F849DD" w:rsidRDefault="00C271DB" w:rsidP="00B3369E">
            <w:pPr>
              <w:jc w:val="center"/>
            </w:pPr>
            <w:r>
              <w:t>7 to 10 persons</w:t>
            </w:r>
          </w:p>
        </w:tc>
        <w:tc>
          <w:tcPr>
            <w:tcW w:w="2220" w:type="dxa"/>
          </w:tcPr>
          <w:p w14:paraId="4449A5FD" w14:textId="7D390459" w:rsidR="00C271DB" w:rsidRPr="00F849DD" w:rsidRDefault="00C271DB" w:rsidP="00B3369E">
            <w:pPr>
              <w:jc w:val="center"/>
            </w:pPr>
            <w:r>
              <w:t>£</w:t>
            </w:r>
            <w:r w:rsidR="00FA526B">
              <w:t>825.00</w:t>
            </w:r>
          </w:p>
        </w:tc>
        <w:tc>
          <w:tcPr>
            <w:tcW w:w="2220" w:type="dxa"/>
          </w:tcPr>
          <w:p w14:paraId="5871BD37" w14:textId="1297A303" w:rsidR="00C271DB" w:rsidRPr="00F849DD" w:rsidRDefault="00C271DB" w:rsidP="00B3369E">
            <w:pPr>
              <w:jc w:val="center"/>
            </w:pPr>
            <w:r>
              <w:t>£</w:t>
            </w:r>
            <w:r w:rsidR="009A7F36">
              <w:t>2</w:t>
            </w:r>
            <w:r w:rsidR="00FA526B">
              <w:t>52.80</w:t>
            </w:r>
          </w:p>
        </w:tc>
        <w:tc>
          <w:tcPr>
            <w:tcW w:w="2221" w:type="dxa"/>
          </w:tcPr>
          <w:p w14:paraId="1E74CCCF" w14:textId="6854F77E" w:rsidR="00C271DB" w:rsidRPr="00F849DD" w:rsidRDefault="00C271DB" w:rsidP="00B3369E">
            <w:pPr>
              <w:jc w:val="center"/>
            </w:pPr>
            <w:r>
              <w:t>£</w:t>
            </w:r>
            <w:r w:rsidR="00FA526B">
              <w:t>444.30</w:t>
            </w:r>
          </w:p>
        </w:tc>
        <w:tc>
          <w:tcPr>
            <w:tcW w:w="2221" w:type="dxa"/>
          </w:tcPr>
          <w:p w14:paraId="01E1F546" w14:textId="7CC1D962" w:rsidR="00C271DB" w:rsidRPr="00F849DD" w:rsidRDefault="00C271DB" w:rsidP="00B3369E">
            <w:pPr>
              <w:jc w:val="center"/>
            </w:pPr>
            <w:r>
              <w:t>£</w:t>
            </w:r>
            <w:r w:rsidR="009A7F36">
              <w:t>22</w:t>
            </w:r>
            <w:r w:rsidR="00FA526B">
              <w:t>3.70</w:t>
            </w:r>
          </w:p>
        </w:tc>
      </w:tr>
    </w:tbl>
    <w:p w14:paraId="79E13025" w14:textId="77777777" w:rsidR="00C271DB" w:rsidRDefault="00C271DB" w:rsidP="00C271DB">
      <w:pPr>
        <w:rPr>
          <w:szCs w:val="22"/>
        </w:rPr>
      </w:pPr>
    </w:p>
    <w:p w14:paraId="4F00EA2F" w14:textId="77777777" w:rsidR="00C271DB" w:rsidRPr="003E55A9" w:rsidRDefault="00C271DB" w:rsidP="00C271DB">
      <w:pPr>
        <w:rPr>
          <w:i/>
          <w:szCs w:val="22"/>
        </w:rPr>
      </w:pPr>
      <w:r w:rsidRPr="003E55A9">
        <w:rPr>
          <w:i/>
          <w:szCs w:val="22"/>
        </w:rPr>
        <w:t>In cases where landlords are required to licence more than one property in the Crawley Borough</w:t>
      </w:r>
      <w:r>
        <w:rPr>
          <w:i/>
          <w:szCs w:val="22"/>
        </w:rPr>
        <w:t>,</w:t>
      </w:r>
      <w:r w:rsidRPr="003E55A9">
        <w:rPr>
          <w:i/>
          <w:szCs w:val="22"/>
        </w:rPr>
        <w:t xml:space="preserve"> a </w:t>
      </w:r>
      <w:r w:rsidRPr="003E55A9">
        <w:rPr>
          <w:b/>
          <w:i/>
          <w:szCs w:val="22"/>
        </w:rPr>
        <w:t>discount of £50</w:t>
      </w:r>
      <w:r w:rsidRPr="003E55A9">
        <w:rPr>
          <w:i/>
          <w:szCs w:val="22"/>
        </w:rPr>
        <w:t xml:space="preserve"> is applied on every subsequent application</w:t>
      </w:r>
      <w:r>
        <w:rPr>
          <w:i/>
          <w:szCs w:val="22"/>
        </w:rPr>
        <w:t xml:space="preserve"> made within the same financial year</w:t>
      </w:r>
      <w:r w:rsidRPr="003E55A9">
        <w:rPr>
          <w:i/>
          <w:szCs w:val="22"/>
        </w:rPr>
        <w:t>.</w:t>
      </w:r>
    </w:p>
    <w:p w14:paraId="7124F8E5" w14:textId="77777777" w:rsidR="00C271DB" w:rsidRDefault="00C271DB" w:rsidP="00C271DB">
      <w:pPr>
        <w:rPr>
          <w:szCs w:val="22"/>
        </w:rPr>
      </w:pPr>
    </w:p>
    <w:p w14:paraId="326D51A5" w14:textId="77777777" w:rsidR="00C271DB" w:rsidRDefault="00C271DB" w:rsidP="00C271DB">
      <w:pPr>
        <w:rPr>
          <w:szCs w:val="22"/>
        </w:rPr>
      </w:pPr>
      <w:r>
        <w:rPr>
          <w:szCs w:val="22"/>
        </w:rPr>
        <w:t xml:space="preserve">If it is not clear which fee applies to your property or whether the property requires a </w:t>
      </w:r>
      <w:proofErr w:type="gramStart"/>
      <w:r>
        <w:rPr>
          <w:szCs w:val="22"/>
        </w:rPr>
        <w:t>licence</w:t>
      </w:r>
      <w:proofErr w:type="gramEnd"/>
      <w:r>
        <w:rPr>
          <w:szCs w:val="22"/>
        </w:rPr>
        <w:t xml:space="preserve"> please contact us to discuss the situation.</w:t>
      </w:r>
    </w:p>
    <w:p w14:paraId="26E1E283" w14:textId="77777777" w:rsidR="00C271DB" w:rsidRDefault="00C271DB" w:rsidP="00C271DB">
      <w:pPr>
        <w:rPr>
          <w:szCs w:val="22"/>
        </w:rPr>
      </w:pPr>
    </w:p>
    <w:p w14:paraId="42BB7E93" w14:textId="77777777" w:rsidR="00C271DB" w:rsidRDefault="00C271DB" w:rsidP="00C271DB">
      <w:pPr>
        <w:rPr>
          <w:szCs w:val="22"/>
        </w:rPr>
      </w:pPr>
    </w:p>
    <w:p w14:paraId="2DF3B614" w14:textId="77777777" w:rsidR="00C271DB" w:rsidRDefault="00C271DB" w:rsidP="00C271DB">
      <w:pPr>
        <w:rPr>
          <w:b/>
          <w:szCs w:val="22"/>
        </w:rPr>
      </w:pPr>
      <w:r>
        <w:rPr>
          <w:b/>
          <w:szCs w:val="22"/>
        </w:rPr>
        <w:t>Contact:</w:t>
      </w:r>
      <w:r>
        <w:rPr>
          <w:b/>
          <w:szCs w:val="22"/>
        </w:rPr>
        <w:tab/>
        <w:t>Private Sector Housing Team</w:t>
      </w:r>
    </w:p>
    <w:p w14:paraId="799CED96" w14:textId="77777777" w:rsidR="00C271DB" w:rsidRDefault="00C271DB" w:rsidP="00C271DB">
      <w:pPr>
        <w:rPr>
          <w:b/>
          <w:szCs w:val="22"/>
        </w:rPr>
      </w:pPr>
      <w:r>
        <w:rPr>
          <w:b/>
          <w:szCs w:val="22"/>
        </w:rPr>
        <w:tab/>
      </w:r>
      <w:r>
        <w:rPr>
          <w:b/>
          <w:szCs w:val="22"/>
        </w:rPr>
        <w:tab/>
        <w:t>Crawley Borough Council, Town Hall</w:t>
      </w:r>
    </w:p>
    <w:p w14:paraId="145388E8" w14:textId="77777777" w:rsidR="00C271DB" w:rsidRDefault="00C271DB" w:rsidP="00C271DB">
      <w:pPr>
        <w:rPr>
          <w:b/>
          <w:szCs w:val="22"/>
        </w:rPr>
      </w:pPr>
      <w:r>
        <w:rPr>
          <w:b/>
          <w:szCs w:val="22"/>
        </w:rPr>
        <w:tab/>
      </w:r>
      <w:r>
        <w:rPr>
          <w:b/>
          <w:szCs w:val="22"/>
        </w:rPr>
        <w:tab/>
        <w:t xml:space="preserve">The Boulevard, </w:t>
      </w:r>
      <w:smartTag w:uri="urn:schemas-microsoft-com:office:smarttags" w:element="place">
        <w:r>
          <w:rPr>
            <w:b/>
            <w:szCs w:val="22"/>
          </w:rPr>
          <w:t>Crawley</w:t>
        </w:r>
      </w:smartTag>
      <w:r>
        <w:rPr>
          <w:b/>
          <w:szCs w:val="22"/>
        </w:rPr>
        <w:t xml:space="preserve">, </w:t>
      </w:r>
      <w:smartTag w:uri="urn:schemas-microsoft-com:office:smarttags" w:element="place">
        <w:r>
          <w:rPr>
            <w:b/>
            <w:szCs w:val="22"/>
          </w:rPr>
          <w:t>West Sussex</w:t>
        </w:r>
      </w:smartTag>
      <w:r>
        <w:rPr>
          <w:b/>
          <w:szCs w:val="22"/>
        </w:rPr>
        <w:t xml:space="preserve"> RH10 1UZ</w:t>
      </w:r>
    </w:p>
    <w:p w14:paraId="63B7F808" w14:textId="77777777" w:rsidR="00C271DB" w:rsidRDefault="00C271DB" w:rsidP="00C271DB">
      <w:pPr>
        <w:rPr>
          <w:b/>
          <w:szCs w:val="22"/>
        </w:rPr>
      </w:pPr>
      <w:r>
        <w:rPr>
          <w:b/>
          <w:szCs w:val="22"/>
        </w:rPr>
        <w:tab/>
      </w:r>
      <w:r>
        <w:rPr>
          <w:b/>
          <w:szCs w:val="22"/>
        </w:rPr>
        <w:tab/>
        <w:t xml:space="preserve">Tel 01293 438281 or </w:t>
      </w:r>
      <w:hyperlink r:id="rId8" w:history="1">
        <w:r w:rsidRPr="009C16B4">
          <w:rPr>
            <w:rStyle w:val="Hyperlink"/>
            <w:b/>
            <w:szCs w:val="22"/>
          </w:rPr>
          <w:t>ps.housing@crawley.gov.uk</w:t>
        </w:r>
      </w:hyperlink>
      <w:r>
        <w:rPr>
          <w:b/>
          <w:szCs w:val="22"/>
        </w:rPr>
        <w:t xml:space="preserve">  </w:t>
      </w:r>
    </w:p>
    <w:p w14:paraId="23B33D40" w14:textId="77777777" w:rsidR="00C271DB" w:rsidRDefault="00C271DB" w:rsidP="00C271DB">
      <w:pPr>
        <w:rPr>
          <w:b/>
          <w:szCs w:val="22"/>
        </w:rPr>
      </w:pPr>
    </w:p>
    <w:p w14:paraId="2E417AC5" w14:textId="77777777" w:rsidR="00C271DB" w:rsidRDefault="00C271DB" w:rsidP="00C271DB">
      <w:pPr>
        <w:rPr>
          <w:b/>
          <w:szCs w:val="22"/>
        </w:rPr>
        <w:sectPr w:rsidR="00C271DB" w:rsidSect="00C271DB">
          <w:headerReference w:type="default" r:id="rId9"/>
          <w:pgSz w:w="11906" w:h="16838"/>
          <w:pgMar w:top="170" w:right="397" w:bottom="170" w:left="397" w:header="720" w:footer="720" w:gutter="0"/>
          <w:cols w:space="720"/>
        </w:sectPr>
      </w:pPr>
    </w:p>
    <w:p w14:paraId="210FAC16" w14:textId="77777777" w:rsidR="00C271DB" w:rsidRPr="00357968" w:rsidRDefault="00C271DB" w:rsidP="00C271DB">
      <w:pPr>
        <w:rPr>
          <w:b/>
          <w:u w:val="single"/>
        </w:rPr>
      </w:pPr>
      <w:r>
        <w:rPr>
          <w:b/>
          <w:u w:val="single"/>
        </w:rPr>
        <w:t>PAYMENT OF FEES</w:t>
      </w:r>
    </w:p>
    <w:p w14:paraId="71499DA2" w14:textId="77777777" w:rsidR="00C271DB" w:rsidRDefault="00C271DB" w:rsidP="00C271DB">
      <w:pPr>
        <w:rPr>
          <w:b/>
        </w:rPr>
      </w:pPr>
    </w:p>
    <w:p w14:paraId="3031414B" w14:textId="77777777" w:rsidR="00C271DB" w:rsidRDefault="00C271DB" w:rsidP="00C271DB">
      <w:r>
        <w:t>By telephone calling 01293 438000 and speaking with a Customer Contact Centre advisor.</w:t>
      </w:r>
    </w:p>
    <w:p w14:paraId="6CA2B462" w14:textId="77777777" w:rsidR="00C271DB" w:rsidRDefault="00C271DB" w:rsidP="00C271DB">
      <w:r>
        <w:t>By bank transfer to Crawley BC Acct No.10625660 Sort Code 30-80-12</w:t>
      </w:r>
    </w:p>
    <w:p w14:paraId="38EF0126" w14:textId="77777777" w:rsidR="00C271DB" w:rsidRDefault="00C271DB" w:rsidP="00C271DB">
      <w:r>
        <w:t>In the Crawley BC Town Hall Cashiers.</w:t>
      </w:r>
    </w:p>
    <w:p w14:paraId="440BD7DC" w14:textId="77777777" w:rsidR="00C271DB" w:rsidRDefault="00C271DB" w:rsidP="00C271DB"/>
    <w:p w14:paraId="1564F096" w14:textId="77777777" w:rsidR="00C271DB" w:rsidRPr="00357968" w:rsidRDefault="00C271DB" w:rsidP="00C271DB">
      <w:pPr>
        <w:rPr>
          <w:rStyle w:val="A1"/>
          <w:b/>
        </w:rPr>
      </w:pPr>
      <w:r w:rsidRPr="00357968">
        <w:rPr>
          <w:b/>
        </w:rPr>
        <w:t>NB Please reference all payments with the HMO property address.</w:t>
      </w:r>
    </w:p>
    <w:p w14:paraId="5C6E5FEA" w14:textId="77777777" w:rsidR="00C271DB" w:rsidRPr="00357968" w:rsidRDefault="00C271DB" w:rsidP="00C271DB"/>
    <w:p w14:paraId="11628168" w14:textId="77777777" w:rsidR="00C271DB" w:rsidRPr="00D00918" w:rsidRDefault="00C271DB" w:rsidP="00C271DB">
      <w:pPr>
        <w:rPr>
          <w:b/>
          <w:sz w:val="2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307"/>
      </w:tblGrid>
      <w:tr w:rsidR="00C271DB" w:rsidRPr="00955E76" w14:paraId="46E6F6B7" w14:textId="77777777" w:rsidTr="00B3369E">
        <w:tc>
          <w:tcPr>
            <w:tcW w:w="11307" w:type="dxa"/>
            <w:tcBorders>
              <w:bottom w:val="single" w:sz="4" w:space="0" w:color="auto"/>
            </w:tcBorders>
            <w:shd w:val="clear" w:color="auto" w:fill="0C0C0C"/>
          </w:tcPr>
          <w:p w14:paraId="0B0B2DC1" w14:textId="77777777" w:rsidR="00C271DB" w:rsidRPr="00955E76" w:rsidRDefault="00C271DB" w:rsidP="00B3369E">
            <w:pPr>
              <w:rPr>
                <w:b/>
                <w:sz w:val="20"/>
              </w:rPr>
            </w:pPr>
            <w:r w:rsidRPr="00955E76">
              <w:rPr>
                <w:b/>
                <w:sz w:val="20"/>
              </w:rPr>
              <w:t>Notes</w:t>
            </w:r>
          </w:p>
        </w:tc>
      </w:tr>
      <w:tr w:rsidR="00C271DB" w:rsidRPr="00955E76" w14:paraId="65FAE49D" w14:textId="77777777" w:rsidTr="00B3369E">
        <w:trPr>
          <w:trHeight w:val="2441"/>
        </w:trPr>
        <w:tc>
          <w:tcPr>
            <w:tcW w:w="11307" w:type="dxa"/>
            <w:tcBorders>
              <w:bottom w:val="single" w:sz="4" w:space="0" w:color="auto"/>
            </w:tcBorders>
            <w:shd w:val="clear" w:color="auto" w:fill="FFFFFF"/>
          </w:tcPr>
          <w:p w14:paraId="2593ADC3" w14:textId="77777777" w:rsidR="00C271DB" w:rsidRPr="00955E76" w:rsidRDefault="00C271DB" w:rsidP="00B3369E">
            <w:pPr>
              <w:rPr>
                <w:sz w:val="20"/>
              </w:rPr>
            </w:pPr>
            <w:r w:rsidRPr="00955E76">
              <w:rPr>
                <w:sz w:val="20"/>
              </w:rPr>
              <w:t xml:space="preserve">The fee payment forms a part of the licence application – </w:t>
            </w:r>
            <w:r w:rsidRPr="00955E76">
              <w:rPr>
                <w:b/>
                <w:sz w:val="20"/>
              </w:rPr>
              <w:t>an application without the correct fee is not complete and as such will not be accepted</w:t>
            </w:r>
            <w:r w:rsidRPr="00955E76">
              <w:rPr>
                <w:sz w:val="20"/>
              </w:rPr>
              <w:t>.</w:t>
            </w:r>
          </w:p>
          <w:p w14:paraId="2D7DDF2B" w14:textId="77777777" w:rsidR="00C271DB" w:rsidRPr="00955E76" w:rsidRDefault="00C271DB" w:rsidP="00B3369E">
            <w:pPr>
              <w:rPr>
                <w:sz w:val="20"/>
              </w:rPr>
            </w:pPr>
          </w:p>
          <w:p w14:paraId="50E7397B" w14:textId="77777777" w:rsidR="00C271DB" w:rsidRDefault="00C271DB" w:rsidP="00B3369E">
            <w:pPr>
              <w:rPr>
                <w:sz w:val="20"/>
              </w:rPr>
            </w:pPr>
            <w:r>
              <w:rPr>
                <w:sz w:val="20"/>
              </w:rPr>
              <w:t>The licence fee will be refunded i</w:t>
            </w:r>
            <w:r w:rsidRPr="00955E76">
              <w:rPr>
                <w:sz w:val="20"/>
              </w:rPr>
              <w:t>f</w:t>
            </w:r>
            <w:r>
              <w:rPr>
                <w:sz w:val="20"/>
              </w:rPr>
              <w:t xml:space="preserve"> the property is found not to require a licence</w:t>
            </w:r>
            <w:r w:rsidRPr="00955E76">
              <w:rPr>
                <w:sz w:val="20"/>
              </w:rPr>
              <w:t xml:space="preserve"> during the application process.  </w:t>
            </w:r>
            <w:r>
              <w:rPr>
                <w:sz w:val="20"/>
              </w:rPr>
              <w:t>However, t</w:t>
            </w:r>
            <w:r w:rsidRPr="00955E76">
              <w:rPr>
                <w:sz w:val="20"/>
              </w:rPr>
              <w:t xml:space="preserve">he </w:t>
            </w:r>
            <w:r>
              <w:rPr>
                <w:sz w:val="20"/>
              </w:rPr>
              <w:t>fee is not refundable once an application form has been submitted regardless of whether or not the application would have been successful or if the application is withdrawn.</w:t>
            </w:r>
          </w:p>
          <w:p w14:paraId="5194FAC0" w14:textId="77777777" w:rsidR="00C271DB" w:rsidRPr="00955E76" w:rsidRDefault="00C271DB" w:rsidP="00B3369E">
            <w:pPr>
              <w:rPr>
                <w:sz w:val="20"/>
              </w:rPr>
            </w:pPr>
          </w:p>
          <w:p w14:paraId="5B647423" w14:textId="77777777" w:rsidR="00C271DB" w:rsidRDefault="00C271DB" w:rsidP="00B3369E">
            <w:pPr>
              <w:rPr>
                <w:sz w:val="20"/>
              </w:rPr>
            </w:pPr>
            <w:r w:rsidRPr="00955E76">
              <w:rPr>
                <w:sz w:val="20"/>
              </w:rPr>
              <w:t>Fees may be reviewed from time to time to ensure they reflect the full cost of administering the licensing arrangements.</w:t>
            </w:r>
          </w:p>
          <w:p w14:paraId="37C83B22" w14:textId="77777777" w:rsidR="00C271DB" w:rsidRDefault="00C271DB" w:rsidP="00B3369E">
            <w:pPr>
              <w:rPr>
                <w:sz w:val="20"/>
              </w:rPr>
            </w:pPr>
          </w:p>
          <w:p w14:paraId="179147B8" w14:textId="77777777" w:rsidR="00C271DB" w:rsidRPr="00955E76" w:rsidRDefault="00C271DB" w:rsidP="00B3369E">
            <w:pPr>
              <w:rPr>
                <w:sz w:val="20"/>
              </w:rPr>
            </w:pPr>
            <w:r>
              <w:rPr>
                <w:sz w:val="20"/>
              </w:rPr>
              <w:t>HMO Licences are not transferrable.</w:t>
            </w:r>
          </w:p>
          <w:p w14:paraId="3B791272" w14:textId="77777777" w:rsidR="00C271DB" w:rsidRPr="00955E76" w:rsidRDefault="00C271DB" w:rsidP="00B3369E">
            <w:pPr>
              <w:rPr>
                <w:sz w:val="20"/>
              </w:rPr>
            </w:pPr>
          </w:p>
          <w:p w14:paraId="2EC56686" w14:textId="77777777" w:rsidR="00C271DB" w:rsidRPr="00955E76" w:rsidRDefault="00C271DB" w:rsidP="00B3369E">
            <w:pPr>
              <w:rPr>
                <w:b/>
                <w:sz w:val="20"/>
              </w:rPr>
            </w:pPr>
            <w:r w:rsidRPr="00955E76">
              <w:rPr>
                <w:sz w:val="20"/>
              </w:rPr>
              <w:t xml:space="preserve">Further information on HMO Licensing is available from </w:t>
            </w:r>
            <w:hyperlink r:id="rId10" w:history="1">
              <w:r w:rsidRPr="00955E76">
                <w:rPr>
                  <w:rStyle w:val="Hyperlink"/>
                  <w:b/>
                  <w:sz w:val="20"/>
                </w:rPr>
                <w:t>www.communities.gov.uk</w:t>
              </w:r>
            </w:hyperlink>
          </w:p>
        </w:tc>
      </w:tr>
    </w:tbl>
    <w:p w14:paraId="6521553E" w14:textId="77777777" w:rsidR="00C271DB" w:rsidRPr="00AD43CC" w:rsidRDefault="00C271DB" w:rsidP="00C271DB">
      <w:pPr>
        <w:pStyle w:val="Footer"/>
        <w:rPr>
          <w:sz w:val="18"/>
          <w:szCs w:val="18"/>
        </w:rPr>
      </w:pPr>
    </w:p>
    <w:p w14:paraId="4AD00F2D" w14:textId="77777777" w:rsidR="005727E9" w:rsidRDefault="005727E9"/>
    <w:sectPr w:rsidR="005727E9" w:rsidSect="00106DAE">
      <w:type w:val="continuous"/>
      <w:pgSz w:w="11906" w:h="16838"/>
      <w:pgMar w:top="238" w:right="397" w:bottom="329" w:left="397" w:header="720" w:footer="720" w:gutter="0"/>
      <w:cols w:space="720"/>
      <w:vAlign w:val="center"/>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CDF6" w14:textId="77777777" w:rsidR="007D4EF1" w:rsidRDefault="007D4EF1">
      <w:r>
        <w:separator/>
      </w:r>
    </w:p>
  </w:endnote>
  <w:endnote w:type="continuationSeparator" w:id="0">
    <w:p w14:paraId="0818CD5E" w14:textId="77777777" w:rsidR="007D4EF1" w:rsidRDefault="007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w:altName w:val="FS Alber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08FB" w14:textId="77777777" w:rsidR="007D4EF1" w:rsidRDefault="007D4EF1">
      <w:r>
        <w:separator/>
      </w:r>
    </w:p>
  </w:footnote>
  <w:footnote w:type="continuationSeparator" w:id="0">
    <w:p w14:paraId="326B74D9" w14:textId="77777777" w:rsidR="007D4EF1" w:rsidRDefault="007D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0D5C" w14:textId="5C505691" w:rsidR="000211C2" w:rsidRPr="00C7163F" w:rsidRDefault="00EF2C01" w:rsidP="00C7163F">
    <w:r>
      <w:t xml:space="preserve">                                                             </w:t>
    </w:r>
    <w:r w:rsidRPr="00357968">
      <w:t>2</w:t>
    </w:r>
    <w:r>
      <w:t>02</w:t>
    </w:r>
    <w:r w:rsidR="009A7F36">
      <w:t>2</w:t>
    </w:r>
    <w:r w:rsidRPr="00357968">
      <w:t xml:space="preserve"> / 202</w:t>
    </w:r>
    <w:r w:rsidR="009A7F36">
      <w:t>3</w:t>
    </w:r>
    <w:r w:rsidRPr="00357968">
      <w:t xml:space="preserve"> HMO Licence 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401FE"/>
    <w:multiLevelType w:val="hybridMultilevel"/>
    <w:tmpl w:val="484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DB"/>
    <w:rsid w:val="005727E9"/>
    <w:rsid w:val="007D4EF1"/>
    <w:rsid w:val="00962114"/>
    <w:rsid w:val="009A7F36"/>
    <w:rsid w:val="00C271DB"/>
    <w:rsid w:val="00C50622"/>
    <w:rsid w:val="00CE7032"/>
    <w:rsid w:val="00EF2C01"/>
    <w:rsid w:val="00F64CDA"/>
    <w:rsid w:val="00FA526B"/>
    <w:rsid w:val="00FB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1758873"/>
  <w15:chartTrackingRefBased/>
  <w15:docId w15:val="{AB93FE9C-7B0B-4ACF-8C67-9A75C0B3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DB"/>
    <w:pPr>
      <w:overflowPunct w:val="0"/>
      <w:autoSpaceDE w:val="0"/>
      <w:autoSpaceDN w:val="0"/>
      <w:adjustRightInd w:val="0"/>
      <w:spacing w:after="0" w:line="240" w:lineRule="auto"/>
      <w:textAlignment w:val="baseline"/>
    </w:pPr>
    <w:rPr>
      <w:rFonts w:ascii="Arial" w:eastAsia="Times New Roman" w:hAnsi="Arial"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71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271DB"/>
    <w:pPr>
      <w:tabs>
        <w:tab w:val="center" w:pos="4153"/>
        <w:tab w:val="right" w:pos="8306"/>
      </w:tabs>
    </w:pPr>
  </w:style>
  <w:style w:type="character" w:customStyle="1" w:styleId="FooterChar">
    <w:name w:val="Footer Char"/>
    <w:basedOn w:val="DefaultParagraphFont"/>
    <w:link w:val="Footer"/>
    <w:rsid w:val="00C271DB"/>
    <w:rPr>
      <w:rFonts w:ascii="Arial" w:eastAsia="Times New Roman" w:hAnsi="Arial" w:cs="Times New Roman"/>
      <w:szCs w:val="20"/>
      <w:lang w:eastAsia="zh-TW"/>
    </w:rPr>
  </w:style>
  <w:style w:type="character" w:styleId="Hyperlink">
    <w:name w:val="Hyperlink"/>
    <w:rsid w:val="00C271DB"/>
    <w:rPr>
      <w:color w:val="0000FF"/>
      <w:u w:val="single"/>
    </w:rPr>
  </w:style>
  <w:style w:type="paragraph" w:styleId="ListParagraph">
    <w:name w:val="List Paragraph"/>
    <w:basedOn w:val="Normal"/>
    <w:uiPriority w:val="34"/>
    <w:qFormat/>
    <w:rsid w:val="00C271DB"/>
    <w:pPr>
      <w:ind w:left="720"/>
      <w:contextualSpacing/>
    </w:pPr>
  </w:style>
  <w:style w:type="paragraph" w:styleId="Quote">
    <w:name w:val="Quote"/>
    <w:basedOn w:val="Normal"/>
    <w:next w:val="Normal"/>
    <w:link w:val="QuoteChar"/>
    <w:uiPriority w:val="29"/>
    <w:qFormat/>
    <w:rsid w:val="00C271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71DB"/>
    <w:rPr>
      <w:rFonts w:ascii="Arial" w:eastAsia="Times New Roman" w:hAnsi="Arial" w:cs="Times New Roman"/>
      <w:i/>
      <w:iCs/>
      <w:color w:val="404040" w:themeColor="text1" w:themeTint="BF"/>
      <w:szCs w:val="20"/>
      <w:lang w:eastAsia="zh-TW"/>
    </w:rPr>
  </w:style>
  <w:style w:type="character" w:customStyle="1" w:styleId="A1">
    <w:name w:val="A1"/>
    <w:rsid w:val="00C271DB"/>
    <w:rPr>
      <w:rFonts w:cs="FS Albert"/>
      <w:color w:val="000000"/>
      <w:sz w:val="26"/>
      <w:szCs w:val="26"/>
    </w:rPr>
  </w:style>
  <w:style w:type="paragraph" w:styleId="Header">
    <w:name w:val="header"/>
    <w:basedOn w:val="Normal"/>
    <w:link w:val="HeaderChar"/>
    <w:uiPriority w:val="99"/>
    <w:unhideWhenUsed/>
    <w:rsid w:val="009A7F36"/>
    <w:pPr>
      <w:tabs>
        <w:tab w:val="center" w:pos="4513"/>
        <w:tab w:val="right" w:pos="9026"/>
      </w:tabs>
    </w:pPr>
  </w:style>
  <w:style w:type="character" w:customStyle="1" w:styleId="HeaderChar">
    <w:name w:val="Header Char"/>
    <w:basedOn w:val="DefaultParagraphFont"/>
    <w:link w:val="Header"/>
    <w:uiPriority w:val="99"/>
    <w:rsid w:val="009A7F36"/>
    <w:rPr>
      <w:rFonts w:ascii="Arial" w:eastAsia="Times New Roman"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ousing@crawley.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munities.gov.uk"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Pannett, Matt</dc:creator>
  <cp:keywords/>
  <dc:description/>
  <cp:lastModifiedBy>Da Silva, Donna</cp:lastModifiedBy>
  <cp:revision>2</cp:revision>
  <dcterms:created xsi:type="dcterms:W3CDTF">2022-05-11T15:53:00Z</dcterms:created>
  <dcterms:modified xsi:type="dcterms:W3CDTF">2022-05-11T15:53:00Z</dcterms:modified>
</cp:coreProperties>
</file>